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80" w:lineRule="exact"/>
        <w:rPr>
          <w:rFonts w:ascii="黑体" w:hAnsi="黑体" w:eastAsia="黑体" w:cs="Times New Roman"/>
          <w:kern w:val="0"/>
          <w:sz w:val="28"/>
          <w:szCs w:val="28"/>
        </w:rPr>
      </w:pPr>
      <w:r>
        <w:rPr>
          <w:rFonts w:hint="eastAsia" w:ascii="黑体" w:hAnsi="黑体" w:eastAsia="黑体" w:cs="Times New Roman"/>
          <w:kern w:val="0"/>
          <w:sz w:val="28"/>
          <w:szCs w:val="28"/>
        </w:rPr>
        <w:t>附件3：</w:t>
      </w:r>
    </w:p>
    <w:p>
      <w:pPr>
        <w:spacing w:before="156" w:beforeLines="50" w:after="156" w:afterLines="50"/>
        <w:jc w:val="center"/>
        <w:outlineLvl w:val="0"/>
        <w:rPr>
          <w:rFonts w:ascii="方正小标宋简体" w:hAnsi="宋体" w:eastAsia="方正小标宋简体" w:cs="Times New Roman"/>
          <w:sz w:val="36"/>
          <w:szCs w:val="36"/>
        </w:rPr>
      </w:pPr>
      <w:bookmarkStart w:id="0" w:name="_GoBack"/>
      <w:r>
        <w:rPr>
          <w:rFonts w:hint="eastAsia" w:ascii="方正小标宋简体" w:hAnsi="宋体" w:eastAsia="方正小标宋简体" w:cs="Times New Roman"/>
          <w:sz w:val="36"/>
          <w:szCs w:val="36"/>
        </w:rPr>
        <w:t>“双万计划”国家级一流本科课程推荐认定办法</w:t>
      </w:r>
    </w:p>
    <w:bookmarkEnd w:id="0"/>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b/>
          <w:sz w:val="32"/>
          <w:szCs w:val="32"/>
          <w:shd w:val="clear" w:color="auto" w:fill="FFFFFF"/>
        </w:rPr>
        <w:t>一、推荐范围</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仿宋" w:hAnsi="仿宋" w:eastAsia="仿宋" w:cs="仿宋"/>
          <w:kern w:val="2"/>
          <w:sz w:val="32"/>
          <w:szCs w:val="32"/>
        </w:rPr>
        <w:t>普通本科高校纳入人才培养方案且设置学分的本科课程均可推荐，包括思想政治理论课、公共基础课、专业基础课、专业课以及通识课等独立设置的本科理论课程、实验课程和社会实践课程等。</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仿宋" w:hAnsi="仿宋" w:eastAsia="仿宋" w:cs="仿宋"/>
          <w:b/>
          <w:sz w:val="32"/>
          <w:szCs w:val="32"/>
          <w:shd w:val="clear" w:color="auto" w:fill="FFFFFF"/>
        </w:rPr>
        <w:t>二、推荐类型与计划</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一）线上一流课程。即国家精品在线开放课程，突出优质、开放、共享，打造中国慕课品牌。完成4000门左右国家精品在线开放课程认定，构建内容更加丰富、结构更加合理、类别更加全面的国家级精品慕课体系。</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二）线下一流课程。主要指以面授为主的课程，以提升学生综合能力为重点，重塑课程内容，创新教学方法，打破课堂沉默状态，焕发课堂生机活力，较好发挥课堂教学主阵地、主渠道、主战场作用。认定4000门左右国家级线下一流课程。</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三）线上线下混合式一流课程。主要指基于慕课、专属在线课程（SPOC）或其他在线课程，运用适当的数字化教学工具，结合本校实际对校内课程进行改造，安排20%—50%的教学时间实施学生线上自主学习，与线下面授有机结合开展翻转课堂、混合式教学，打造在线课程与本校课堂教学相融合的混合式“金课”。大力倡导基于国家精品在线开放课程应用的线上线下混合式优质课程申报。认定6000门左右国家级线上线下混合式一流课程。</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四）虚拟仿真实验教学一流课程。着力解决真实实验条件不具备或实际运行困难，涉及高危或极端环境，高成本、高消耗、不可逆操作、大型综合训练等问题。完成1500门左右国家虚拟仿真实验教学一流课程认定，形成专业布局合理、教学效果优良、开放共享有效的高等教育信息化实验教学体系。</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五）社会实践一流课程。以培养学生综合能力为目标，通过“青年红色筑梦之旅”、“互联网＋”大学生创新创业大赛、创新创业和思想政治理论课社会实践等活动，推动思想政治教育、专业教育与社会服务紧密结合，培养学生认识社会、研究社会、理解社会、服务社会的意识和能力，建设社会实践一流课程。课程应为纳入人才培养方案的非实习、实训课程，配备理论指导教师，具有稳定的实践基地，学生70%以上学时深入基层，保证课程规范化和可持续发展。认定1000门左右国家级社会实践一流课程。</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仿宋" w:hAnsi="仿宋" w:eastAsia="仿宋" w:cs="仿宋"/>
          <w:b/>
          <w:sz w:val="32"/>
          <w:szCs w:val="32"/>
          <w:shd w:val="clear" w:color="auto" w:fill="FFFFFF"/>
        </w:rPr>
        <w:t>三、推荐条件</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推荐课程须至少经过两个学期或两个教学周期的建设和完善，取得实质性改革成效，在同类课程中具有鲜明特色、良好的教学效果，并承诺入选后将持续改进。符合相关类型课程基本形态和特殊要求的同时，在以下多个方面具备实质性创新，有较大的借鉴和推广价值。</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（一）教学理念先进。坚持立德树人，体现以学生发展为中心，致力于开启学生内在潜力和学习动力，注重学生德智体美劳全面发展。</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二）课程教学团队教学成果显著。课程团队教学改革意识强烈、理念先进，人员结构及任务分工合理。主讲教师具备良好的师德师风，具有丰富的教学经验、较高学术造诣，积极投身教学改革，教学能力强，能够运用新技术提高教学效率、提升教学质量。</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（三）课程目标有效支撑培养目标达成。课程目标符合学校办学定位和人才培养目标，注重知识、能力、素质培养。</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（四）课程教学设计科学合理。围绕目标达成、教学内容、组织实施和多元评价需求进行整体规划，教学策略、教学方法、教学过程、教学评价等设计合理。</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五）课程内容与时俱进。课程内容结构符合学生成长规律，依据学科前沿动态与社会发展需求动态更新知识体系，契合课程目标，教材选用符合教育部和学校教材选用规定，教学资源丰富多样，体现思想性、科学性与时代性。</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（六）教学组织与实施突出学生中心地位。根据学生认知规律和接受特点，创新教与学模式，因材施教，促进师生之间、学生之间的交流互动、资源共享、知识生成，教学反馈及时，教学效果显著。</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（七）课程管理与评价科学且可测量。教师备课要求明确，学生学习管理严格。针对教学目标、教学内容、教学组织等采用多元化考核评价，过程可回溯，诊断改进积极有效。教学过程材料完整，可借鉴可监督。</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仿宋" w:hAnsi="仿宋" w:eastAsia="仿宋" w:cs="仿宋"/>
          <w:b/>
          <w:sz w:val="32"/>
          <w:szCs w:val="32"/>
          <w:shd w:val="clear" w:color="auto" w:fill="FFFFFF"/>
        </w:rPr>
        <w:t>四、推荐方式</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除线上一流课程、虚拟仿真实验教学一流课程继续按有关文件实施外，线下一流课程、线上线下混合式一流课程和社会实践一流课程采用以下推荐方式。</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（一）推荐总额</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教育部按照国家级线下一流课程、线上线下混合式一流课程和社会实践一流课程三年计划总数确定推荐总额，分别下达至中央部门所属高校和各省级教育行政部门。</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（二）分赛道推荐</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按照中央部门所属高校、地方高校的办学定位和培养目标特点分赛道推荐，名额分列。部省合建高校推荐课程纳入中央部门所属高校赛道。</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（三）推荐方式</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中央部门所属高校、各省级教育行政部门根据教育部下达的三年推荐额度，在规定的年度上限数额内推荐。教育部直属高校直接报教育部，其他中央部门所属高校、部省合建高校经主管部门同意后报教育部；地方高校由省级教育行政部门统一报教育部。</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（四）推荐材料要求</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课程团队须提交申报书、时长10分钟内的说课视频（包括教学理念、课程设计、课程实施、改革成效等）和其他佐证材料。</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仿宋" w:hAnsi="仿宋" w:eastAsia="仿宋" w:cs="仿宋"/>
          <w:b/>
          <w:sz w:val="32"/>
          <w:szCs w:val="32"/>
          <w:shd w:val="clear" w:color="auto" w:fill="FFFFFF"/>
        </w:rPr>
        <w:t>五、认定方式</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教育部分年度组织专家对推荐课程进行认定，经公示后向社会发布。对课程团队成员存在师德师风问题、学术不端问题、五年内出现过重大教学事故，课程内容存在思想性科学性问题的，实行一票否决。</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w:t>
      </w:r>
      <w:r>
        <w:rPr>
          <w:rFonts w:hint="eastAsia" w:ascii="仿宋" w:hAnsi="仿宋" w:eastAsia="仿宋" w:cs="仿宋"/>
          <w:b/>
          <w:sz w:val="32"/>
          <w:szCs w:val="32"/>
          <w:shd w:val="clear" w:color="auto" w:fill="FFFFFF"/>
        </w:rPr>
        <w:t>六、认定课程管理</w:t>
      </w:r>
    </w:p>
    <w:p>
      <w:pPr>
        <w:pStyle w:val="2"/>
        <w:widowControl/>
        <w:shd w:val="clear" w:color="auto" w:fill="FFFFFF"/>
        <w:spacing w:beforeAutospacing="0" w:afterAutospacing="0" w:line="480" w:lineRule="atLeast"/>
        <w:rPr>
          <w:rFonts w:ascii="仿宋" w:hAnsi="仿宋" w:eastAsia="仿宋" w:cs="仿宋"/>
          <w:sz w:val="32"/>
          <w:szCs w:val="32"/>
        </w:rPr>
      </w:pPr>
      <w:r>
        <w:rPr>
          <w:rFonts w:hint="eastAsia" w:ascii="仿宋" w:hAnsi="仿宋" w:eastAsia="仿宋" w:cs="仿宋"/>
          <w:sz w:val="32"/>
          <w:szCs w:val="32"/>
          <w:shd w:val="clear" w:color="auto" w:fill="FFFFFF"/>
        </w:rPr>
        <w:t>　　教育部对认定的国家级一流课程实施动态管理，对课程实际应用、教学效果和共享等进行跟踪监测。认定为国家级一流课程的课程须继续建设五年，其建设和改革成果在指定的网站上集中展示和分享，且定期更新资源和数据。对于未持续更新完善、出现严重质量问题、课程团队成员出现师德师风等问题的课程，将予以撤销。</w:t>
      </w:r>
    </w:p>
    <w:p>
      <w:pPr>
        <w:spacing w:line="380" w:lineRule="exact"/>
        <w:ind w:firstLine="640" w:firstLineChars="200"/>
        <w:rPr>
          <w:rFonts w:ascii="仿宋" w:hAnsi="仿宋" w:eastAsia="仿宋" w:cs="仿宋"/>
          <w:sz w:val="32"/>
          <w:szCs w:val="32"/>
        </w:rPr>
        <w:sectPr>
          <w:pgSz w:w="11906" w:h="16838"/>
          <w:pgMar w:top="1440" w:right="1797" w:bottom="1440" w:left="1797" w:header="851" w:footer="992" w:gutter="0"/>
          <w:cols w:space="425"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C721DD"/>
    <w:rsid w:val="52C721D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Autospacing="1" w:afterAutospacing="1"/>
      <w:jc w:val="left"/>
    </w:pPr>
    <w:rPr>
      <w:rFonts w:cs="Times New Roman"/>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2019-11-28T07:08:00Z</dcterms:created>
  <dc:creator>驼驼洋</dc:creator>
  <cp:lastModifiedBy>驼驼洋</cp:lastModifiedBy>
  <dcterms:modified xsi:type="dcterms:W3CDTF">2019-11-28T07:08:15Z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